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GoBack"/>
      <w:bookmarkEnd w:id="0"/>
    </w:p>
    <w:p w:rsidR="002B7E4F" w:rsidRPr="002B7E4F" w:rsidRDefault="002B7E4F" w:rsidP="002B7E4F">
      <w:pPr>
        <w:jc w:val="both"/>
        <w:rPr>
          <w:rFonts w:ascii="Arial" w:hAnsi="Arial" w:cs="Arial"/>
          <w:b/>
          <w:caps/>
          <w:sz w:val="22"/>
          <w:szCs w:val="22"/>
          <w:lang w:val="es-MX"/>
        </w:rPr>
      </w:pPr>
      <w:r w:rsidRPr="002B7E4F">
        <w:rPr>
          <w:rFonts w:ascii="Arial" w:hAnsi="Arial" w:cs="Arial"/>
          <w:b/>
          <w:caps/>
          <w:sz w:val="22"/>
          <w:szCs w:val="22"/>
          <w:lang w:val="es-MX"/>
        </w:rPr>
        <w:t>EP</w:t>
      </w:r>
      <w:r w:rsidR="00715976">
        <w:rPr>
          <w:rFonts w:ascii="Arial" w:hAnsi="Arial" w:cs="Arial"/>
          <w:b/>
          <w:caps/>
          <w:sz w:val="22"/>
          <w:szCs w:val="22"/>
          <w:lang w:val="es-MX"/>
        </w:rPr>
        <w:t>.</w:t>
      </w:r>
      <w:r w:rsidRPr="002B7E4F">
        <w:rPr>
          <w:rFonts w:ascii="Arial" w:hAnsi="Arial" w:cs="Arial"/>
          <w:b/>
          <w:caps/>
          <w:sz w:val="22"/>
          <w:szCs w:val="22"/>
          <w:lang w:val="es-MX"/>
        </w:rPr>
        <w:t xml:space="preserve"> 88</w:t>
      </w:r>
      <w:r w:rsidR="00715976">
        <w:rPr>
          <w:rFonts w:ascii="Arial" w:hAnsi="Arial" w:cs="Arial"/>
          <w:b/>
          <w:caps/>
          <w:sz w:val="22"/>
          <w:szCs w:val="22"/>
          <w:lang w:val="es-MX"/>
        </w:rPr>
        <w:t>.-</w:t>
      </w:r>
      <w:r w:rsidRPr="002B7E4F">
        <w:rPr>
          <w:rFonts w:ascii="Arial" w:hAnsi="Arial" w:cs="Arial"/>
          <w:b/>
          <w:caps/>
          <w:sz w:val="22"/>
          <w:szCs w:val="22"/>
          <w:lang w:val="es-MX"/>
        </w:rPr>
        <w:t xml:space="preserve"> Columna hidráulica</w:t>
      </w:r>
    </w:p>
    <w:p w:rsidR="002B7E4F" w:rsidRPr="002B7E4F" w:rsidRDefault="002B7E4F" w:rsidP="002B7E4F">
      <w:pPr>
        <w:jc w:val="both"/>
        <w:rPr>
          <w:rFonts w:ascii="Arial" w:hAnsi="Arial" w:cs="Arial"/>
          <w:b/>
          <w:caps/>
          <w:sz w:val="22"/>
          <w:szCs w:val="22"/>
          <w:lang w:val="es-MX"/>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Línea de descarga desde el equipo hidroneumático hasta la zona de baños, incluye: conectores, reducciones, </w:t>
      </w:r>
      <w:proofErr w:type="spellStart"/>
      <w:r w:rsidRPr="002B7E4F">
        <w:rPr>
          <w:rFonts w:ascii="Arial" w:hAnsi="Arial" w:cs="Arial"/>
          <w:sz w:val="22"/>
          <w:szCs w:val="22"/>
        </w:rPr>
        <w:t>tees</w:t>
      </w:r>
      <w:proofErr w:type="spellEnd"/>
      <w:r w:rsidRPr="002B7E4F">
        <w:rPr>
          <w:rFonts w:ascii="Arial" w:hAnsi="Arial" w:cs="Arial"/>
          <w:sz w:val="22"/>
          <w:szCs w:val="22"/>
        </w:rPr>
        <w:t xml:space="preserve">, válvulas, codos de 90°, tuerca unión, tubería 38mm, materiales, accesorios, válvula angular, tubería </w:t>
      </w:r>
      <w:proofErr w:type="spellStart"/>
      <w:r w:rsidRPr="002B7E4F">
        <w:rPr>
          <w:rFonts w:ascii="Arial" w:hAnsi="Arial" w:cs="Arial"/>
          <w:sz w:val="22"/>
          <w:szCs w:val="22"/>
        </w:rPr>
        <w:t>coflex</w:t>
      </w:r>
      <w:proofErr w:type="spellEnd"/>
      <w:r w:rsidRPr="002B7E4F">
        <w:rPr>
          <w:rFonts w:ascii="Arial" w:hAnsi="Arial" w:cs="Arial"/>
          <w:sz w:val="22"/>
          <w:szCs w:val="22"/>
        </w:rPr>
        <w:t xml:space="preserve">, instalación, mano de obra, pruebas, equipo y herramienta, limpieza del área de trabajo y todo lo necesario para su correcta ejecución, soportes.    </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NOTA: metros necesarios de tubería, mano de obra, instalación y pruebas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2"/>
        </w:numPr>
        <w:rPr>
          <w:rFonts w:ascii="Arial" w:hAnsi="Arial" w:cs="Arial"/>
          <w:b/>
          <w:sz w:val="22"/>
          <w:szCs w:val="22"/>
        </w:rPr>
      </w:pPr>
      <w:bookmarkStart w:id="1" w:name="_Toc368180060"/>
      <w:r w:rsidRPr="002B7E4F">
        <w:rPr>
          <w:rFonts w:ascii="Arial" w:hAnsi="Arial" w:cs="Arial"/>
          <w:b/>
          <w:sz w:val="22"/>
          <w:szCs w:val="22"/>
        </w:rPr>
        <w:t>Características Técnicas</w:t>
      </w:r>
      <w:bookmarkEnd w:id="1"/>
    </w:p>
    <w:p w:rsidR="002B7E4F" w:rsidRPr="002B7E4F" w:rsidRDefault="002B7E4F" w:rsidP="00462F48">
      <w:pPr>
        <w:pStyle w:val="TITULO-4"/>
        <w:numPr>
          <w:ilvl w:val="3"/>
          <w:numId w:val="12"/>
        </w:numPr>
        <w:rPr>
          <w:spacing w:val="-1"/>
          <w:sz w:val="22"/>
          <w:szCs w:val="22"/>
        </w:rPr>
      </w:pPr>
      <w:bookmarkStart w:id="2" w:name="_Toc368180061"/>
      <w:r w:rsidRPr="002B7E4F">
        <w:rPr>
          <w:spacing w:val="-1"/>
          <w:sz w:val="22"/>
          <w:szCs w:val="22"/>
        </w:rPr>
        <w:t>Base de selección.</w:t>
      </w:r>
      <w:bookmarkEnd w:id="2"/>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Las características de los materiales seleccionados se han basado en la siguiente tabla y ha servido de guía para la selección de las mismas. </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Para la selección de la tubería de cobre se tiene lo siguiente:</w:t>
      </w:r>
    </w:p>
    <w:p w:rsidR="002B7E4F" w:rsidRPr="002B7E4F" w:rsidRDefault="002B7E4F" w:rsidP="002B7E4F">
      <w:pPr>
        <w:jc w:val="both"/>
        <w:rPr>
          <w:rFonts w:ascii="Arial" w:hAnsi="Arial" w:cs="Arial"/>
          <w:sz w:val="22"/>
          <w:szCs w:val="22"/>
        </w:rPr>
      </w:pPr>
    </w:p>
    <w:p w:rsidR="002B7E4F" w:rsidRPr="002B7E4F" w:rsidRDefault="00B15425" w:rsidP="002B7E4F">
      <w:pPr>
        <w:jc w:val="both"/>
        <w:rPr>
          <w:rFonts w:ascii="Arial" w:hAnsi="Arial" w:cs="Arial"/>
          <w:sz w:val="22"/>
          <w:szCs w:val="22"/>
        </w:rPr>
      </w:pPr>
      <w:r>
        <w:rPr>
          <w:rFonts w:ascii="Arial" w:hAnsi="Arial" w:cs="Arial"/>
          <w:noProof/>
          <w:sz w:val="22"/>
          <w:szCs w:val="22"/>
          <w:lang w:eastAsia="en-US"/>
        </w:rPr>
        <w:pict>
          <v:rect id="_x0000_s1033" style="position:absolute;left:0;text-align:left;margin-left:9.95pt;margin-top:169.85pt;width:387.75pt;height:21.75pt;z-index:251676672" filled="f" strokecolor="#c0504d" strokeweight="2.5pt">
            <v:shadow color="#868686"/>
          </v:rect>
        </w:pict>
      </w:r>
      <w:r w:rsidR="002B7E4F" w:rsidRPr="002B7E4F">
        <w:rPr>
          <w:rFonts w:ascii="Arial" w:hAnsi="Arial" w:cs="Arial"/>
          <w:noProof/>
          <w:sz w:val="22"/>
          <w:szCs w:val="22"/>
          <w:lang w:val="es-MX" w:eastAsia="es-MX"/>
        </w:rPr>
        <w:drawing>
          <wp:inline distT="0" distB="0" distL="0" distR="0">
            <wp:extent cx="5158740" cy="3493770"/>
            <wp:effectExtent l="19050" t="0" r="3810" b="0"/>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cstate="print"/>
                    <a:srcRect/>
                    <a:stretch>
                      <a:fillRect/>
                    </a:stretch>
                  </pic:blipFill>
                  <pic:spPr bwMode="auto">
                    <a:xfrm>
                      <a:off x="0" y="0"/>
                      <a:ext cx="5158740" cy="349377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Para la manguera flexible se tiene:</w:t>
      </w: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drawing>
          <wp:inline distT="0" distB="0" distL="0" distR="0">
            <wp:extent cx="4312920" cy="2329180"/>
            <wp:effectExtent l="19050" t="0" r="0" b="0"/>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cstate="print"/>
                    <a:srcRect/>
                    <a:stretch>
                      <a:fillRect/>
                    </a:stretch>
                  </pic:blipFill>
                  <pic:spPr bwMode="auto">
                    <a:xfrm>
                      <a:off x="0" y="0"/>
                      <a:ext cx="4312920" cy="232918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Para la selección de la válvula  se tiene lo siguiente:</w:t>
      </w:r>
    </w:p>
    <w:p w:rsidR="002B7E4F" w:rsidRPr="002B7E4F" w:rsidRDefault="002B7E4F" w:rsidP="002B7E4F">
      <w:pPr>
        <w:jc w:val="both"/>
        <w:rPr>
          <w:rFonts w:ascii="Arial" w:hAnsi="Arial" w:cs="Arial"/>
          <w:sz w:val="22"/>
          <w:szCs w:val="22"/>
        </w:rPr>
      </w:pPr>
    </w:p>
    <w:p w:rsidR="002B7E4F" w:rsidRPr="002B7E4F" w:rsidRDefault="00B15425" w:rsidP="002B7E4F">
      <w:pPr>
        <w:jc w:val="both"/>
        <w:rPr>
          <w:rFonts w:ascii="Arial" w:hAnsi="Arial" w:cs="Arial"/>
          <w:sz w:val="22"/>
          <w:szCs w:val="22"/>
        </w:rPr>
      </w:pPr>
      <w:r>
        <w:rPr>
          <w:rFonts w:ascii="Arial" w:hAnsi="Arial" w:cs="Arial"/>
          <w:noProof/>
          <w:sz w:val="22"/>
          <w:szCs w:val="22"/>
          <w:lang w:eastAsia="en-US"/>
        </w:rPr>
        <w:pict>
          <v:rect id="_x0000_s1034" style="position:absolute;left:0;text-align:left;margin-left:246.65pt;margin-top:194.15pt;width:35.45pt;height:76.85pt;z-index:251677696" filled="f" strokecolor="#c0504d" strokeweight="2.5pt">
            <v:shadow color="#868686"/>
          </v:rect>
        </w:pict>
      </w:r>
      <w:r w:rsidR="002B7E4F" w:rsidRPr="002B7E4F">
        <w:rPr>
          <w:rFonts w:ascii="Arial" w:hAnsi="Arial" w:cs="Arial"/>
          <w:noProof/>
          <w:sz w:val="22"/>
          <w:szCs w:val="22"/>
          <w:lang w:val="es-MX" w:eastAsia="es-MX"/>
        </w:rPr>
        <w:drawing>
          <wp:inline distT="0" distB="0" distL="0" distR="0">
            <wp:extent cx="5193030" cy="3450590"/>
            <wp:effectExtent l="19050" t="0" r="7620" b="0"/>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srcRect/>
                    <a:stretch>
                      <a:fillRect/>
                    </a:stretch>
                  </pic:blipFill>
                  <pic:spPr bwMode="auto">
                    <a:xfrm>
                      <a:off x="0" y="0"/>
                      <a:ext cx="5193030" cy="345059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material diferente a seleccionar deberá ser homologado bajo las características técnicas a las contempladas en el proyecto ejecutivo y en base a lo indicado en esta especificación técnica. La homologación contemplará las características de calidad, funcionalidad y  elementos técnicos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2"/>
        </w:numPr>
        <w:tabs>
          <w:tab w:val="clear" w:pos="1440"/>
          <w:tab w:val="num" w:pos="851"/>
        </w:tabs>
        <w:ind w:left="851" w:hanging="851"/>
        <w:rPr>
          <w:rFonts w:ascii="Arial" w:hAnsi="Arial" w:cs="Arial"/>
          <w:b/>
          <w:sz w:val="22"/>
          <w:szCs w:val="22"/>
        </w:rPr>
      </w:pPr>
      <w:bookmarkStart w:id="3" w:name="_Toc368180062"/>
      <w:r w:rsidRPr="002B7E4F">
        <w:rPr>
          <w:rFonts w:ascii="Arial" w:hAnsi="Arial" w:cs="Arial"/>
          <w:b/>
          <w:sz w:val="22"/>
          <w:szCs w:val="22"/>
        </w:rPr>
        <w:t>Ejecución de Obra</w:t>
      </w:r>
      <w:bookmarkEnd w:id="3"/>
    </w:p>
    <w:p w:rsidR="002B7E4F" w:rsidRPr="002B7E4F" w:rsidRDefault="002B7E4F" w:rsidP="00462F48">
      <w:pPr>
        <w:pStyle w:val="TITULO-4"/>
        <w:numPr>
          <w:ilvl w:val="3"/>
          <w:numId w:val="12"/>
        </w:numPr>
        <w:rPr>
          <w:sz w:val="22"/>
          <w:szCs w:val="22"/>
        </w:rPr>
      </w:pPr>
      <w:bookmarkStart w:id="4" w:name="_Toc368180063"/>
      <w:r w:rsidRPr="002B7E4F">
        <w:rPr>
          <w:sz w:val="22"/>
          <w:szCs w:val="22"/>
        </w:rPr>
        <w:t>Trabajos preliminares</w:t>
      </w:r>
      <w:bookmarkEnd w:id="4"/>
    </w:p>
    <w:p w:rsidR="002B7E4F" w:rsidRPr="002B7E4F" w:rsidRDefault="002B7E4F" w:rsidP="002B7E4F">
      <w:pPr>
        <w:jc w:val="both"/>
        <w:rPr>
          <w:rFonts w:ascii="Arial" w:hAnsi="Arial" w:cs="Arial"/>
          <w:sz w:val="22"/>
          <w:szCs w:val="22"/>
        </w:rPr>
      </w:pPr>
      <w:r w:rsidRPr="002B7E4F">
        <w:rPr>
          <w:rFonts w:ascii="Arial" w:hAnsi="Arial" w:cs="Arial"/>
          <w:sz w:val="22"/>
          <w:szCs w:val="22"/>
        </w:rPr>
        <w:t>Estas actividades comprenden todos aquellos trabajos o actuaciones previas que deberán de desarrollarse, antes de ejecutar los trabajos de instalación de la línea de conducción hidráulica o columna hidráulica para los diferentes locales o áreas en las estaciones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supervisara de manera constante la correcta instalación de los materiales que conforman el concepto de línea de conducción hidráulica o columna hidráulica. Se deberá hacer el trazo en primera instancia que permita prever posibles interferencias con las demás especialidades. Así mismo, deberán de colocarse los soportes necesarios que fijarán tanto las tuberías verticales y  horizontales con las distancias adecuadas según lo indicado en la normatividad correspondiente y considerando también las recomendaciones y prácticas para dicho sistema del fabricante de las mismas.</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 deberá de prever el paso de línea de conducción hidráulica o columna hidráulica por las diferentes losas o elementos estructurales en los cuales se tenga prevista su trayectoria. Estas preparaciones estarán basadas o resueltas con la colocación de </w:t>
      </w:r>
      <w:proofErr w:type="spellStart"/>
      <w:r w:rsidRPr="002B7E4F">
        <w:rPr>
          <w:rFonts w:ascii="Arial" w:hAnsi="Arial" w:cs="Arial"/>
          <w:sz w:val="22"/>
          <w:szCs w:val="22"/>
        </w:rPr>
        <w:t>pasatubos</w:t>
      </w:r>
      <w:proofErr w:type="spellEnd"/>
      <w:r w:rsidRPr="002B7E4F">
        <w:rPr>
          <w:rFonts w:ascii="Arial" w:hAnsi="Arial" w:cs="Arial"/>
          <w:sz w:val="22"/>
          <w:szCs w:val="22"/>
        </w:rPr>
        <w:t xml:space="preserve">, todo en conjunción con los requerimientos y pasos contemplados en el proyecto ejecutivo. </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2"/>
        </w:numPr>
        <w:rPr>
          <w:sz w:val="22"/>
          <w:szCs w:val="22"/>
        </w:rPr>
      </w:pPr>
      <w:bookmarkStart w:id="5" w:name="_Toc368180064"/>
      <w:r w:rsidRPr="002B7E4F">
        <w:rPr>
          <w:sz w:val="22"/>
          <w:szCs w:val="22"/>
        </w:rPr>
        <w:t>Almacenaje y transporte.</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material  entre en contacto con elementos que puedan obstruir o taponar los tubos y/o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materiales y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Se supervisarán los puntos de almacenaje y que las condiciones sean óptimas para el almacenaje de los materiales y que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2"/>
        </w:numPr>
        <w:rPr>
          <w:sz w:val="22"/>
          <w:szCs w:val="22"/>
        </w:rPr>
      </w:pPr>
      <w:bookmarkStart w:id="6" w:name="_Toc368180065"/>
      <w:r w:rsidRPr="002B7E4F">
        <w:rPr>
          <w:sz w:val="22"/>
          <w:szCs w:val="22"/>
        </w:rPr>
        <w:t>Instalación</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línea de conducción hidráulica o columna hidráulica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 instalación del sistema línea de conducción hidráulica o columna hidráulica deberá ejecutarse antes del colado de las losas y sobretodo del armado de los pisos estructurales en los puntos que el proyecto ejecutivo establezca que deban ser ahogados en las losas de concreto. Esta previsión evitará que se tengan que romper los pisos o elementos estructurales y con ello su posible debilitamiento. La preparación de las salidas sanitarias también contempla la previsión de los </w:t>
      </w:r>
      <w:proofErr w:type="spellStart"/>
      <w:r w:rsidRPr="002B7E4F">
        <w:rPr>
          <w:rFonts w:ascii="Arial" w:hAnsi="Arial" w:cs="Arial"/>
          <w:sz w:val="22"/>
          <w:szCs w:val="22"/>
        </w:rPr>
        <w:t>pasatubos</w:t>
      </w:r>
      <w:proofErr w:type="spellEnd"/>
      <w:r w:rsidRPr="002B7E4F">
        <w:rPr>
          <w:rFonts w:ascii="Arial" w:hAnsi="Arial" w:cs="Arial"/>
          <w:sz w:val="22"/>
          <w:szCs w:val="22"/>
        </w:rPr>
        <w:t xml:space="preserve">, en todas las posiciones verticales y horizontales </w:t>
      </w:r>
      <w:proofErr w:type="gramStart"/>
      <w:r w:rsidRPr="002B7E4F">
        <w:rPr>
          <w:rFonts w:ascii="Arial" w:hAnsi="Arial" w:cs="Arial"/>
          <w:sz w:val="22"/>
          <w:szCs w:val="22"/>
        </w:rPr>
        <w:t>necesarios</w:t>
      </w:r>
      <w:proofErr w:type="gramEnd"/>
      <w:r w:rsidRPr="002B7E4F">
        <w:rPr>
          <w:rFonts w:ascii="Arial" w:hAnsi="Arial" w:cs="Arial"/>
          <w:sz w:val="22"/>
          <w:szCs w:val="22"/>
        </w:rPr>
        <w:t>.</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Es responsabilidad del contratista de instalaciones hidráulicas la colocación de los </w:t>
      </w:r>
      <w:proofErr w:type="spellStart"/>
      <w:r w:rsidRPr="002B7E4F">
        <w:rPr>
          <w:rFonts w:ascii="Arial" w:hAnsi="Arial" w:cs="Arial"/>
          <w:sz w:val="22"/>
          <w:szCs w:val="22"/>
        </w:rPr>
        <w:t>pasatubos</w:t>
      </w:r>
      <w:proofErr w:type="spellEnd"/>
      <w:r w:rsidRPr="002B7E4F">
        <w:rPr>
          <w:rFonts w:ascii="Arial" w:hAnsi="Arial" w:cs="Arial"/>
          <w:sz w:val="22"/>
          <w:szCs w:val="22"/>
        </w:rPr>
        <w:t xml:space="preserve"> necesarios en las diferentes losas o elementos estructurales.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Aunado a todo ello,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contratista de la obra responsable de dichos trabajos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instalador de la línea de conducción hidráulica o columna hidráulica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Como consecuencia de la información recibida del instalador de la línea de conducción hidráulica o columna hidráulica, o por propia iniciativa a la vista de las necesidades de la obra, el Director de la misma podrá ordenar y proponer las modificaciones que considere </w:t>
      </w:r>
      <w:r w:rsidRPr="002B7E4F">
        <w:rPr>
          <w:rFonts w:ascii="Arial" w:hAnsi="Arial" w:cs="Arial"/>
          <w:sz w:val="22"/>
          <w:szCs w:val="22"/>
        </w:rPr>
        <w:lastRenderedPageBreak/>
        <w:t>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2"/>
        </w:numPr>
        <w:tabs>
          <w:tab w:val="clear" w:pos="1440"/>
          <w:tab w:val="num" w:pos="851"/>
        </w:tabs>
        <w:ind w:left="851" w:hanging="851"/>
        <w:rPr>
          <w:rFonts w:ascii="Arial" w:hAnsi="Arial" w:cs="Arial"/>
          <w:b/>
          <w:sz w:val="22"/>
          <w:szCs w:val="22"/>
        </w:rPr>
      </w:pPr>
      <w:bookmarkStart w:id="7" w:name="_Toc368180066"/>
      <w:r w:rsidRPr="002B7E4F">
        <w:rPr>
          <w:rFonts w:ascii="Arial" w:hAnsi="Arial" w:cs="Arial"/>
          <w:b/>
          <w:sz w:val="22"/>
          <w:szCs w:val="22"/>
        </w:rPr>
        <w:t>Medición</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La línea de conducción hidráulica o columna hidráulica se medirá por unidad de  salida y contemplará el conjunto de accesorios, tuberías, elementos de conexión, materiales de fijación, trazos, nivelaciones, pruebas que en su conjunto coadyuven al correcto funcionamiento de la línea de conducción hidráulica o columna hidráulica.</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Una línea de conducción hidráulica o columna hidráulica corresponderá a todos los elementos, accesorios, tuberías de cobre o tuberías de fierro galvanizado según lo indicado en el </w:t>
      </w:r>
      <w:proofErr w:type="spellStart"/>
      <w:r w:rsidRPr="002B7E4F">
        <w:rPr>
          <w:rFonts w:ascii="Arial" w:hAnsi="Arial" w:cs="Arial"/>
          <w:sz w:val="22"/>
          <w:szCs w:val="22"/>
        </w:rPr>
        <w:t>proeyecto</w:t>
      </w:r>
      <w:proofErr w:type="spellEnd"/>
      <w:r w:rsidRPr="002B7E4F">
        <w:rPr>
          <w:rFonts w:ascii="Arial" w:hAnsi="Arial" w:cs="Arial"/>
          <w:sz w:val="22"/>
          <w:szCs w:val="22"/>
        </w:rPr>
        <w:t xml:space="preserve"> ejecutivo de diversos diámetros así como codos, </w:t>
      </w:r>
      <w:proofErr w:type="spellStart"/>
      <w:r w:rsidRPr="002B7E4F">
        <w:rPr>
          <w:rFonts w:ascii="Arial" w:hAnsi="Arial" w:cs="Arial"/>
          <w:sz w:val="22"/>
          <w:szCs w:val="22"/>
        </w:rPr>
        <w:t>tees</w:t>
      </w:r>
      <w:proofErr w:type="spellEnd"/>
      <w:r w:rsidRPr="002B7E4F">
        <w:rPr>
          <w:rFonts w:ascii="Arial" w:hAnsi="Arial" w:cs="Arial"/>
          <w:sz w:val="22"/>
          <w:szCs w:val="22"/>
        </w:rPr>
        <w:t xml:space="preserve">, </w:t>
      </w:r>
      <w:proofErr w:type="spellStart"/>
      <w:r w:rsidRPr="002B7E4F">
        <w:rPr>
          <w:rFonts w:ascii="Arial" w:hAnsi="Arial" w:cs="Arial"/>
          <w:sz w:val="22"/>
          <w:szCs w:val="22"/>
        </w:rPr>
        <w:t>yees</w:t>
      </w:r>
      <w:proofErr w:type="spellEnd"/>
      <w:r w:rsidRPr="002B7E4F">
        <w:rPr>
          <w:rFonts w:ascii="Arial" w:hAnsi="Arial" w:cs="Arial"/>
          <w:sz w:val="22"/>
          <w:szCs w:val="22"/>
        </w:rPr>
        <w:t xml:space="preserve">, </w:t>
      </w:r>
      <w:proofErr w:type="spellStart"/>
      <w:r w:rsidRPr="002B7E4F">
        <w:rPr>
          <w:rFonts w:ascii="Arial" w:hAnsi="Arial" w:cs="Arial"/>
          <w:sz w:val="22"/>
          <w:szCs w:val="22"/>
        </w:rPr>
        <w:t>coples</w:t>
      </w:r>
      <w:proofErr w:type="spellEnd"/>
      <w:r w:rsidRPr="002B7E4F">
        <w:rPr>
          <w:rFonts w:ascii="Arial" w:hAnsi="Arial" w:cs="Arial"/>
          <w:sz w:val="22"/>
          <w:szCs w:val="22"/>
        </w:rPr>
        <w:t xml:space="preserve">,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adecuada para las tuberías, tramo de tubería de 4” de diámetro y de 3” para ramales secundarios y tubos de ventila y toda la conexión requerida  en el ramal principal.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12"/>
        </w:numPr>
        <w:tabs>
          <w:tab w:val="clear" w:pos="1440"/>
          <w:tab w:val="num" w:pos="851"/>
        </w:tabs>
        <w:ind w:left="851" w:hanging="851"/>
        <w:rPr>
          <w:rFonts w:ascii="Arial" w:hAnsi="Arial" w:cs="Arial"/>
          <w:b/>
          <w:sz w:val="22"/>
          <w:szCs w:val="22"/>
        </w:rPr>
      </w:pPr>
      <w:bookmarkStart w:id="8" w:name="_Toc368180067"/>
      <w:r w:rsidRPr="002B7E4F">
        <w:rPr>
          <w:rFonts w:ascii="Arial" w:hAnsi="Arial" w:cs="Arial"/>
          <w:b/>
          <w:sz w:val="22"/>
          <w:szCs w:val="22"/>
        </w:rPr>
        <w:t>Pruebas y Ensayo</w:t>
      </w:r>
      <w:bookmarkEnd w:id="8"/>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instalador y aprobado por la DO y bajo los lineamientos que marquen las normativas vigentes y aplicables.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Se harán las pruebas de hermeticidad, con el equipo conectado a los diversos arreglos de tuberías planteados en el proyecto ejecutivo. Dichas pruebas deberán de garantizar la hermeticidad del sistema, y el correcto funcionamiento de cada uno de los dispositivos y accesorios que conforman el sistema línea de conducción hidráulica o columna hidráulica.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línea hidráulica deberá someterse a pruebas de presión en valores medibles según lo establecido en las normativas correspondientes.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hermeticidad de todas las conexiones.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Todas la pruebas deberán basarse conforme a lo indicado en la reglamentación local y de acuerdo a las Normas Técnicas Complementarias para Diseño y Ejecución de Obras e Instalaciones Hidráulicas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También se aplican las normas de Ingeniería del Instituto Mexicano del Seguro Social.</w:t>
      </w:r>
    </w:p>
    <w:p w:rsidR="002B7E4F" w:rsidRPr="002B7E4F" w:rsidRDefault="002B7E4F" w:rsidP="00462F48">
      <w:pPr>
        <w:pStyle w:val="TITULO-4"/>
        <w:numPr>
          <w:ilvl w:val="3"/>
          <w:numId w:val="12"/>
        </w:numPr>
        <w:rPr>
          <w:sz w:val="22"/>
          <w:szCs w:val="22"/>
        </w:rPr>
      </w:pPr>
      <w:bookmarkStart w:id="9" w:name="_Toc368180068"/>
      <w:r w:rsidRPr="002B7E4F">
        <w:rPr>
          <w:sz w:val="22"/>
          <w:szCs w:val="22"/>
        </w:rPr>
        <w:t>Garantías de calidad</w:t>
      </w:r>
      <w:bookmarkEnd w:id="9"/>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responsable de dichos trabajos,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2"/>
        </w:numPr>
        <w:rPr>
          <w:sz w:val="22"/>
          <w:szCs w:val="22"/>
        </w:rPr>
      </w:pPr>
      <w:bookmarkStart w:id="10" w:name="_Toc368180069"/>
      <w:r w:rsidRPr="002B7E4F">
        <w:rPr>
          <w:sz w:val="22"/>
          <w:szCs w:val="22"/>
        </w:rPr>
        <w:t>Garantías técnicas</w:t>
      </w:r>
      <w:bookmarkEnd w:id="10"/>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instalador del sistema línea de conducción hidráulica o columna hidráulica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2"/>
        </w:numPr>
        <w:tabs>
          <w:tab w:val="clear" w:pos="1440"/>
          <w:tab w:val="num" w:pos="851"/>
        </w:tabs>
        <w:ind w:left="851" w:hanging="851"/>
        <w:rPr>
          <w:rFonts w:ascii="Arial" w:hAnsi="Arial" w:cs="Arial"/>
          <w:b/>
          <w:sz w:val="22"/>
          <w:szCs w:val="22"/>
        </w:rPr>
      </w:pPr>
      <w:bookmarkStart w:id="11" w:name="_Toc368180070"/>
      <w:r w:rsidRPr="002B7E4F">
        <w:rPr>
          <w:rFonts w:ascii="Arial" w:hAnsi="Arial" w:cs="Arial"/>
          <w:b/>
          <w:sz w:val="22"/>
          <w:szCs w:val="22"/>
        </w:rPr>
        <w:t>Base de Pago</w:t>
      </w:r>
      <w:bookmarkEnd w:id="1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sectPr w:rsidR="002B7E4F" w:rsidRPr="002B7E4F" w:rsidSect="00990E1E">
      <w:headerReference w:type="default" r:id="rId12"/>
      <w:footerReference w:type="even" r:id="rId13"/>
      <w:footerReference w:type="default" r:id="rId14"/>
      <w:footerReference w:type="first" r:id="rId15"/>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B15425">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425"/>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9F793-D67A-4DD5-BD00-D91942B4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1666</Words>
  <Characters>9167</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10812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2014-04-10T22:06:00Z</dcterms:created>
  <dcterms:modified xsi:type="dcterms:W3CDTF">2014-04-10T22:06:00Z</dcterms:modified>
</cp:coreProperties>
</file>